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D871" w14:textId="77777777" w:rsidR="0089520A" w:rsidRDefault="00FA5EE3">
      <w:pPr>
        <w:rPr>
          <w:rFonts w:ascii="Arial" w:hAnsi="Arial" w:cs="Arial"/>
          <w:u w:val="single"/>
        </w:rPr>
      </w:pPr>
      <w:bookmarkStart w:id="0" w:name="_GoBack"/>
      <w:bookmarkEnd w:id="0"/>
      <w:r>
        <w:rPr>
          <w:noProof/>
          <w:lang w:eastAsia="en-GB"/>
        </w:rPr>
        <w:drawing>
          <wp:anchor distT="0" distB="0" distL="114300" distR="114300" simplePos="0" relativeHeight="251659264" behindDoc="0" locked="0" layoutInCell="1" allowOverlap="1" wp14:anchorId="397EA54F" wp14:editId="4A98A0DD">
            <wp:simplePos x="0" y="0"/>
            <wp:positionH relativeFrom="column">
              <wp:posOffset>-649605</wp:posOffset>
            </wp:positionH>
            <wp:positionV relativeFrom="paragraph">
              <wp:posOffset>-683895</wp:posOffset>
            </wp:positionV>
            <wp:extent cx="548640" cy="535305"/>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353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u w:val="single"/>
        </w:rPr>
        <w:t>Number Knowledge</w:t>
      </w:r>
    </w:p>
    <w:p w14:paraId="5AC0222B" w14:textId="77777777" w:rsidR="00C27C9A" w:rsidRDefault="00FA5EE3" w:rsidP="00FA5EE3">
      <w:pPr>
        <w:jc w:val="both"/>
        <w:rPr>
          <w:rFonts w:ascii="Arial" w:hAnsi="Arial" w:cs="Arial"/>
        </w:rPr>
      </w:pPr>
      <w:r>
        <w:rPr>
          <w:rFonts w:ascii="Arial" w:hAnsi="Arial" w:cs="Arial"/>
        </w:rPr>
        <w:t>Below are the objectives that we need to be focusing on in Number Knowledge sessions. As you can see, they are predominantly linked to Number (counting) and Multiplication and Division (multiplication tables and elated division facts). These objectives will also be covered in your ‘on the boil’ objectives on the Medium Term Planning.  Although these are split into year groups, they are flexible and you need to be planning according to the children’s needs. The progression map should give you an overview as to where the children have come from and their next steps.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FA5EE3" w14:paraId="5E2FEAB4" w14:textId="77777777" w:rsidTr="00FA5EE3">
        <w:tc>
          <w:tcPr>
            <w:tcW w:w="2024" w:type="dxa"/>
          </w:tcPr>
          <w:p w14:paraId="17EBB187" w14:textId="77777777" w:rsidR="00FA5EE3" w:rsidRDefault="00FA5EE3" w:rsidP="00FA5EE3">
            <w:pPr>
              <w:jc w:val="both"/>
              <w:rPr>
                <w:rFonts w:ascii="Arial" w:hAnsi="Arial" w:cs="Arial"/>
              </w:rPr>
            </w:pPr>
          </w:p>
        </w:tc>
        <w:tc>
          <w:tcPr>
            <w:tcW w:w="2025" w:type="dxa"/>
          </w:tcPr>
          <w:p w14:paraId="48063CB8" w14:textId="77777777" w:rsidR="00FA5EE3" w:rsidRPr="00FA5EE3" w:rsidRDefault="00FA5EE3" w:rsidP="00FA5EE3">
            <w:pPr>
              <w:jc w:val="center"/>
              <w:rPr>
                <w:rFonts w:ascii="Arial" w:hAnsi="Arial" w:cs="Arial"/>
                <w:b/>
              </w:rPr>
            </w:pPr>
            <w:r w:rsidRPr="00FA5EE3">
              <w:rPr>
                <w:rFonts w:ascii="Arial" w:hAnsi="Arial" w:cs="Arial"/>
                <w:b/>
              </w:rPr>
              <w:t>Year 1</w:t>
            </w:r>
          </w:p>
        </w:tc>
        <w:tc>
          <w:tcPr>
            <w:tcW w:w="2025" w:type="dxa"/>
          </w:tcPr>
          <w:p w14:paraId="32542CEC" w14:textId="77777777" w:rsidR="00FA5EE3" w:rsidRPr="00FA5EE3" w:rsidRDefault="00FA5EE3" w:rsidP="00FA5EE3">
            <w:pPr>
              <w:jc w:val="center"/>
              <w:rPr>
                <w:rFonts w:ascii="Arial" w:hAnsi="Arial" w:cs="Arial"/>
                <w:b/>
              </w:rPr>
            </w:pPr>
            <w:r w:rsidRPr="00FA5EE3">
              <w:rPr>
                <w:rFonts w:ascii="Arial" w:hAnsi="Arial" w:cs="Arial"/>
                <w:b/>
              </w:rPr>
              <w:t>Year 2</w:t>
            </w:r>
          </w:p>
        </w:tc>
        <w:tc>
          <w:tcPr>
            <w:tcW w:w="2025" w:type="dxa"/>
          </w:tcPr>
          <w:p w14:paraId="624C178C" w14:textId="77777777" w:rsidR="00FA5EE3" w:rsidRPr="00FA5EE3" w:rsidRDefault="00FA5EE3" w:rsidP="00FA5EE3">
            <w:pPr>
              <w:jc w:val="center"/>
              <w:rPr>
                <w:rFonts w:ascii="Arial" w:hAnsi="Arial" w:cs="Arial"/>
                <w:b/>
              </w:rPr>
            </w:pPr>
            <w:r w:rsidRPr="00FA5EE3">
              <w:rPr>
                <w:rFonts w:ascii="Arial" w:hAnsi="Arial" w:cs="Arial"/>
                <w:b/>
              </w:rPr>
              <w:t>Year 3</w:t>
            </w:r>
          </w:p>
        </w:tc>
        <w:tc>
          <w:tcPr>
            <w:tcW w:w="2025" w:type="dxa"/>
          </w:tcPr>
          <w:p w14:paraId="1C305072" w14:textId="77777777" w:rsidR="00FA5EE3" w:rsidRPr="00FA5EE3" w:rsidRDefault="00FA5EE3" w:rsidP="00FA5EE3">
            <w:pPr>
              <w:jc w:val="center"/>
              <w:rPr>
                <w:rFonts w:ascii="Arial" w:hAnsi="Arial" w:cs="Arial"/>
                <w:b/>
              </w:rPr>
            </w:pPr>
            <w:r w:rsidRPr="00FA5EE3">
              <w:rPr>
                <w:rFonts w:ascii="Arial" w:hAnsi="Arial" w:cs="Arial"/>
                <w:b/>
              </w:rPr>
              <w:t>Year 4</w:t>
            </w:r>
          </w:p>
        </w:tc>
        <w:tc>
          <w:tcPr>
            <w:tcW w:w="2025" w:type="dxa"/>
          </w:tcPr>
          <w:p w14:paraId="048ADF30" w14:textId="77777777" w:rsidR="00FA5EE3" w:rsidRPr="00FA5EE3" w:rsidRDefault="00FA5EE3" w:rsidP="00FA5EE3">
            <w:pPr>
              <w:jc w:val="center"/>
              <w:rPr>
                <w:rFonts w:ascii="Arial" w:hAnsi="Arial" w:cs="Arial"/>
                <w:b/>
              </w:rPr>
            </w:pPr>
            <w:r w:rsidRPr="00FA5EE3">
              <w:rPr>
                <w:rFonts w:ascii="Arial" w:hAnsi="Arial" w:cs="Arial"/>
                <w:b/>
              </w:rPr>
              <w:t>Year 5</w:t>
            </w:r>
          </w:p>
        </w:tc>
        <w:tc>
          <w:tcPr>
            <w:tcW w:w="2025" w:type="dxa"/>
          </w:tcPr>
          <w:p w14:paraId="5EA0E9A3" w14:textId="77777777" w:rsidR="00FA5EE3" w:rsidRPr="00FA5EE3" w:rsidRDefault="00FA5EE3" w:rsidP="00FA5EE3">
            <w:pPr>
              <w:jc w:val="center"/>
              <w:rPr>
                <w:rFonts w:ascii="Arial" w:hAnsi="Arial" w:cs="Arial"/>
                <w:b/>
              </w:rPr>
            </w:pPr>
            <w:r w:rsidRPr="00FA5EE3">
              <w:rPr>
                <w:rFonts w:ascii="Arial" w:hAnsi="Arial" w:cs="Arial"/>
                <w:b/>
              </w:rPr>
              <w:t>Year 6</w:t>
            </w:r>
          </w:p>
        </w:tc>
      </w:tr>
      <w:tr w:rsidR="00C27C9A" w14:paraId="54E32AD6" w14:textId="77777777" w:rsidTr="00FA5EE3">
        <w:tc>
          <w:tcPr>
            <w:tcW w:w="2024" w:type="dxa"/>
          </w:tcPr>
          <w:p w14:paraId="6F4BE915" w14:textId="77777777" w:rsidR="00C27C9A" w:rsidRPr="00FA5EE3" w:rsidRDefault="00C27C9A" w:rsidP="00FA5EE3">
            <w:pPr>
              <w:jc w:val="center"/>
              <w:rPr>
                <w:rFonts w:ascii="Arial" w:hAnsi="Arial" w:cs="Arial"/>
                <w:b/>
              </w:rPr>
            </w:pPr>
            <w:r w:rsidRPr="00FA5EE3">
              <w:rPr>
                <w:rFonts w:ascii="Arial" w:hAnsi="Arial" w:cs="Arial"/>
                <w:b/>
              </w:rPr>
              <w:t>Counting</w:t>
            </w:r>
          </w:p>
        </w:tc>
        <w:tc>
          <w:tcPr>
            <w:tcW w:w="2025" w:type="dxa"/>
            <w:vMerge w:val="restart"/>
          </w:tcPr>
          <w:p w14:paraId="4E39C7D5" w14:textId="77777777" w:rsidR="00C27C9A" w:rsidRPr="00B62803" w:rsidRDefault="00C27C9A" w:rsidP="00FA5EE3">
            <w:pPr>
              <w:rPr>
                <w:rFonts w:ascii="Arial" w:hAnsi="Arial" w:cs="Arial"/>
                <w:sz w:val="20"/>
                <w:szCs w:val="20"/>
              </w:rPr>
            </w:pPr>
            <w:r w:rsidRPr="00B62803">
              <w:rPr>
                <w:rFonts w:ascii="Arial" w:hAnsi="Arial" w:cs="Arial"/>
                <w:sz w:val="20"/>
                <w:szCs w:val="20"/>
              </w:rPr>
              <w:t>- Count to and across 100, forwards and backwards, beginning with 0 or 1, or from any given number.</w:t>
            </w:r>
          </w:p>
          <w:p w14:paraId="19B4244D" w14:textId="77777777" w:rsidR="00C27C9A" w:rsidRPr="00B62803" w:rsidRDefault="00C27C9A" w:rsidP="00FA5EE3">
            <w:pPr>
              <w:rPr>
                <w:rFonts w:ascii="Arial" w:hAnsi="Arial" w:cs="Arial"/>
                <w:sz w:val="20"/>
                <w:szCs w:val="20"/>
              </w:rPr>
            </w:pPr>
            <w:r w:rsidRPr="00B62803">
              <w:rPr>
                <w:rFonts w:ascii="Arial" w:hAnsi="Arial" w:cs="Arial"/>
                <w:sz w:val="20"/>
                <w:szCs w:val="20"/>
              </w:rPr>
              <w:t>- Count, read and write numbers to 100 in numerals; count in multiples of 2s, 5s and 10s.</w:t>
            </w:r>
          </w:p>
        </w:tc>
        <w:tc>
          <w:tcPr>
            <w:tcW w:w="2025" w:type="dxa"/>
          </w:tcPr>
          <w:p w14:paraId="2EE1635C" w14:textId="77777777" w:rsidR="00C27C9A" w:rsidRPr="00B62803" w:rsidRDefault="00C27C9A" w:rsidP="00B62803">
            <w:pPr>
              <w:rPr>
                <w:rFonts w:ascii="Arial" w:hAnsi="Arial" w:cs="Arial"/>
                <w:sz w:val="20"/>
                <w:szCs w:val="20"/>
              </w:rPr>
            </w:pPr>
            <w:r>
              <w:rPr>
                <w:rFonts w:ascii="Arial" w:hAnsi="Arial" w:cs="Arial"/>
                <w:sz w:val="20"/>
                <w:szCs w:val="20"/>
              </w:rPr>
              <w:t>- Count in steps of 2, 3 and 5 from 0, and in tens, from any number, forwards and backwards.</w:t>
            </w:r>
          </w:p>
        </w:tc>
        <w:tc>
          <w:tcPr>
            <w:tcW w:w="2025" w:type="dxa"/>
          </w:tcPr>
          <w:p w14:paraId="17AD7B8B" w14:textId="77777777" w:rsidR="00C27C9A" w:rsidRDefault="00C27C9A" w:rsidP="00B62803">
            <w:pPr>
              <w:rPr>
                <w:rFonts w:ascii="Arial" w:hAnsi="Arial" w:cs="Arial"/>
                <w:sz w:val="20"/>
                <w:szCs w:val="20"/>
              </w:rPr>
            </w:pPr>
            <w:r>
              <w:rPr>
                <w:rFonts w:ascii="Arial" w:hAnsi="Arial" w:cs="Arial"/>
                <w:sz w:val="20"/>
                <w:szCs w:val="20"/>
              </w:rPr>
              <w:t>- Count from 0 in multiples of 4, 8, 50 and 100.</w:t>
            </w:r>
          </w:p>
          <w:p w14:paraId="75694308" w14:textId="77777777" w:rsidR="00C27C9A" w:rsidRPr="00B62803" w:rsidRDefault="00C27C9A" w:rsidP="00B62803">
            <w:pPr>
              <w:rPr>
                <w:rFonts w:ascii="Arial" w:hAnsi="Arial" w:cs="Arial"/>
                <w:sz w:val="20"/>
                <w:szCs w:val="20"/>
              </w:rPr>
            </w:pPr>
          </w:p>
        </w:tc>
        <w:tc>
          <w:tcPr>
            <w:tcW w:w="2025" w:type="dxa"/>
          </w:tcPr>
          <w:p w14:paraId="623D8B4E" w14:textId="77777777" w:rsidR="00C27C9A" w:rsidRDefault="00C27C9A" w:rsidP="00B62803">
            <w:pPr>
              <w:rPr>
                <w:rFonts w:ascii="Arial" w:hAnsi="Arial" w:cs="Arial"/>
                <w:sz w:val="20"/>
                <w:szCs w:val="20"/>
              </w:rPr>
            </w:pPr>
            <w:r>
              <w:rPr>
                <w:rFonts w:ascii="Arial" w:hAnsi="Arial" w:cs="Arial"/>
                <w:sz w:val="20"/>
                <w:szCs w:val="20"/>
              </w:rPr>
              <w:t>- Count backwards through zero to include negative numbers.</w:t>
            </w:r>
          </w:p>
          <w:p w14:paraId="6E1623D9" w14:textId="77777777" w:rsidR="00C27C9A" w:rsidRDefault="00C27C9A" w:rsidP="00B62803">
            <w:pPr>
              <w:rPr>
                <w:rFonts w:ascii="Arial" w:hAnsi="Arial" w:cs="Arial"/>
                <w:sz w:val="20"/>
                <w:szCs w:val="20"/>
              </w:rPr>
            </w:pPr>
            <w:r>
              <w:rPr>
                <w:rFonts w:ascii="Arial" w:hAnsi="Arial" w:cs="Arial"/>
                <w:sz w:val="20"/>
                <w:szCs w:val="20"/>
              </w:rPr>
              <w:t>- Count in multiples of 6, 7, 9 and 25 and 1000.</w:t>
            </w:r>
          </w:p>
          <w:p w14:paraId="626A26FA" w14:textId="77777777" w:rsidR="00C27C9A" w:rsidRPr="00B62803" w:rsidRDefault="00C27C9A" w:rsidP="00B62803">
            <w:pPr>
              <w:rPr>
                <w:rFonts w:ascii="Arial" w:hAnsi="Arial" w:cs="Arial"/>
                <w:sz w:val="20"/>
                <w:szCs w:val="20"/>
              </w:rPr>
            </w:pPr>
          </w:p>
        </w:tc>
        <w:tc>
          <w:tcPr>
            <w:tcW w:w="2025" w:type="dxa"/>
          </w:tcPr>
          <w:p w14:paraId="1D663B6F" w14:textId="77777777" w:rsidR="00C27C9A" w:rsidRDefault="00C27C9A" w:rsidP="00B62803">
            <w:pPr>
              <w:rPr>
                <w:rFonts w:ascii="Arial" w:hAnsi="Arial" w:cs="Arial"/>
                <w:sz w:val="20"/>
                <w:szCs w:val="20"/>
              </w:rPr>
            </w:pPr>
            <w:r>
              <w:rPr>
                <w:rFonts w:ascii="Arial" w:hAnsi="Arial" w:cs="Arial"/>
                <w:sz w:val="20"/>
                <w:szCs w:val="20"/>
              </w:rPr>
              <w:t>- Count forwards or backwards in steps of powers of 10 for any given number up to 1 000 000.</w:t>
            </w:r>
          </w:p>
          <w:p w14:paraId="7602D967" w14:textId="77777777" w:rsidR="00C27C9A" w:rsidRPr="00B62803" w:rsidRDefault="00C27C9A" w:rsidP="00B62803">
            <w:pPr>
              <w:rPr>
                <w:rFonts w:ascii="Arial" w:hAnsi="Arial" w:cs="Arial"/>
                <w:sz w:val="20"/>
                <w:szCs w:val="20"/>
              </w:rPr>
            </w:pPr>
            <w:r>
              <w:rPr>
                <w:rFonts w:ascii="Arial" w:hAnsi="Arial" w:cs="Arial"/>
                <w:sz w:val="20"/>
                <w:szCs w:val="20"/>
              </w:rPr>
              <w:t>- Interpret negative numbers in context, count forwards and backwards with positive and negative whole numbers, including through zero.</w:t>
            </w:r>
          </w:p>
        </w:tc>
        <w:tc>
          <w:tcPr>
            <w:tcW w:w="2025" w:type="dxa"/>
          </w:tcPr>
          <w:p w14:paraId="665B3A94" w14:textId="77777777" w:rsidR="00C27C9A" w:rsidRPr="00B62803" w:rsidRDefault="00C27C9A" w:rsidP="00B62803">
            <w:pPr>
              <w:rPr>
                <w:rFonts w:ascii="Arial" w:hAnsi="Arial" w:cs="Arial"/>
                <w:sz w:val="20"/>
                <w:szCs w:val="20"/>
              </w:rPr>
            </w:pPr>
            <w:r>
              <w:rPr>
                <w:rFonts w:ascii="Arial" w:hAnsi="Arial" w:cs="Arial"/>
                <w:sz w:val="20"/>
                <w:szCs w:val="20"/>
              </w:rPr>
              <w:t>- Use negative numbers in context, and calculate intervals across zero.</w:t>
            </w:r>
          </w:p>
        </w:tc>
      </w:tr>
      <w:tr w:rsidR="00C27C9A" w14:paraId="7DD21C67" w14:textId="77777777" w:rsidTr="00FA5EE3">
        <w:tc>
          <w:tcPr>
            <w:tcW w:w="2024" w:type="dxa"/>
          </w:tcPr>
          <w:p w14:paraId="29EF433D" w14:textId="77777777" w:rsidR="00C27C9A" w:rsidRPr="00FA5EE3" w:rsidRDefault="00C27C9A" w:rsidP="00FA5EE3">
            <w:pPr>
              <w:jc w:val="center"/>
              <w:rPr>
                <w:rFonts w:ascii="Arial" w:hAnsi="Arial" w:cs="Arial"/>
                <w:b/>
              </w:rPr>
            </w:pPr>
            <w:r w:rsidRPr="00FA5EE3">
              <w:rPr>
                <w:rFonts w:ascii="Arial" w:hAnsi="Arial" w:cs="Arial"/>
                <w:b/>
              </w:rPr>
              <w:t>Multiplication and Division</w:t>
            </w:r>
          </w:p>
        </w:tc>
        <w:tc>
          <w:tcPr>
            <w:tcW w:w="2025" w:type="dxa"/>
            <w:vMerge/>
          </w:tcPr>
          <w:p w14:paraId="5AF3396D" w14:textId="77777777" w:rsidR="00C27C9A" w:rsidRDefault="00C27C9A" w:rsidP="00FA5EE3">
            <w:pPr>
              <w:jc w:val="both"/>
              <w:rPr>
                <w:rFonts w:ascii="Arial" w:hAnsi="Arial" w:cs="Arial"/>
              </w:rPr>
            </w:pPr>
          </w:p>
        </w:tc>
        <w:tc>
          <w:tcPr>
            <w:tcW w:w="2025" w:type="dxa"/>
          </w:tcPr>
          <w:p w14:paraId="3FEEE244" w14:textId="77777777" w:rsidR="00C27C9A" w:rsidRPr="00C27C9A" w:rsidRDefault="00C27C9A" w:rsidP="00C27C9A">
            <w:pPr>
              <w:rPr>
                <w:rFonts w:ascii="Arial" w:hAnsi="Arial" w:cs="Arial"/>
                <w:sz w:val="20"/>
                <w:szCs w:val="20"/>
              </w:rPr>
            </w:pPr>
            <w:r>
              <w:rPr>
                <w:rFonts w:ascii="Arial" w:hAnsi="Arial" w:cs="Arial"/>
                <w:sz w:val="20"/>
                <w:szCs w:val="20"/>
              </w:rPr>
              <w:t>- Recall and use multiplication and division facts for the 2, 5 and 10 multiplication tables, including recognising odd and even numbers.</w:t>
            </w:r>
          </w:p>
        </w:tc>
        <w:tc>
          <w:tcPr>
            <w:tcW w:w="2025" w:type="dxa"/>
          </w:tcPr>
          <w:p w14:paraId="4A6B121C" w14:textId="77777777" w:rsidR="00C27C9A" w:rsidRPr="00C27C9A" w:rsidRDefault="00C27C9A" w:rsidP="00C27C9A">
            <w:pPr>
              <w:rPr>
                <w:rFonts w:ascii="Arial" w:hAnsi="Arial" w:cs="Arial"/>
                <w:sz w:val="20"/>
                <w:szCs w:val="20"/>
              </w:rPr>
            </w:pPr>
            <w:r>
              <w:rPr>
                <w:rFonts w:ascii="Arial" w:hAnsi="Arial" w:cs="Arial"/>
                <w:sz w:val="20"/>
                <w:szCs w:val="20"/>
              </w:rPr>
              <w:t>- Recall and use multiplication and division facts for the 3, 4 and 8 multiplication tables.</w:t>
            </w:r>
          </w:p>
        </w:tc>
        <w:tc>
          <w:tcPr>
            <w:tcW w:w="2025" w:type="dxa"/>
          </w:tcPr>
          <w:p w14:paraId="08A299FC" w14:textId="77777777" w:rsidR="00C27C9A" w:rsidRPr="00C27C9A" w:rsidRDefault="00C27C9A" w:rsidP="00C27C9A">
            <w:pPr>
              <w:rPr>
                <w:rFonts w:ascii="Arial" w:hAnsi="Arial" w:cs="Arial"/>
                <w:sz w:val="20"/>
                <w:szCs w:val="20"/>
              </w:rPr>
            </w:pPr>
            <w:r>
              <w:rPr>
                <w:rFonts w:ascii="Arial" w:hAnsi="Arial" w:cs="Arial"/>
                <w:sz w:val="20"/>
                <w:szCs w:val="20"/>
              </w:rPr>
              <w:t>-Recall multiplication and division facts for multiplication tables up to 12x12.</w:t>
            </w:r>
          </w:p>
        </w:tc>
        <w:tc>
          <w:tcPr>
            <w:tcW w:w="2025" w:type="dxa"/>
          </w:tcPr>
          <w:p w14:paraId="60FA1BE8" w14:textId="77777777" w:rsidR="00C27C9A" w:rsidRPr="00C27C9A" w:rsidRDefault="00C27C9A" w:rsidP="00FA5EE3">
            <w:pPr>
              <w:jc w:val="both"/>
              <w:rPr>
                <w:rFonts w:ascii="Arial" w:hAnsi="Arial" w:cs="Arial"/>
                <w:sz w:val="20"/>
                <w:szCs w:val="20"/>
              </w:rPr>
            </w:pPr>
          </w:p>
        </w:tc>
        <w:tc>
          <w:tcPr>
            <w:tcW w:w="2025" w:type="dxa"/>
          </w:tcPr>
          <w:p w14:paraId="760D786E" w14:textId="77777777" w:rsidR="00C27C9A" w:rsidRPr="00C27C9A" w:rsidRDefault="00C27C9A" w:rsidP="00FA5EE3">
            <w:pPr>
              <w:jc w:val="both"/>
              <w:rPr>
                <w:rFonts w:ascii="Arial" w:hAnsi="Arial" w:cs="Arial"/>
                <w:sz w:val="20"/>
                <w:szCs w:val="20"/>
              </w:rPr>
            </w:pPr>
          </w:p>
        </w:tc>
      </w:tr>
      <w:tr w:rsidR="00C27C9A" w14:paraId="73CE9CF6" w14:textId="77777777" w:rsidTr="00FA5EE3">
        <w:tc>
          <w:tcPr>
            <w:tcW w:w="2024" w:type="dxa"/>
          </w:tcPr>
          <w:p w14:paraId="009892C8" w14:textId="77777777" w:rsidR="00C27C9A" w:rsidRPr="00FA5EE3" w:rsidRDefault="00C27C9A" w:rsidP="00FA5EE3">
            <w:pPr>
              <w:jc w:val="center"/>
              <w:rPr>
                <w:rFonts w:ascii="Arial" w:hAnsi="Arial" w:cs="Arial"/>
                <w:b/>
              </w:rPr>
            </w:pPr>
            <w:r>
              <w:rPr>
                <w:rFonts w:ascii="Arial" w:hAnsi="Arial" w:cs="Arial"/>
                <w:b/>
              </w:rPr>
              <w:t>Properties of Numbers</w:t>
            </w:r>
          </w:p>
        </w:tc>
        <w:tc>
          <w:tcPr>
            <w:tcW w:w="2025" w:type="dxa"/>
          </w:tcPr>
          <w:p w14:paraId="7843C3C4" w14:textId="77777777" w:rsidR="00C27C9A" w:rsidRDefault="00C27C9A" w:rsidP="00FA5EE3">
            <w:pPr>
              <w:jc w:val="both"/>
              <w:rPr>
                <w:rFonts w:ascii="Arial" w:hAnsi="Arial" w:cs="Arial"/>
              </w:rPr>
            </w:pPr>
          </w:p>
        </w:tc>
        <w:tc>
          <w:tcPr>
            <w:tcW w:w="2025" w:type="dxa"/>
          </w:tcPr>
          <w:p w14:paraId="5ABA307C" w14:textId="77777777" w:rsidR="00C27C9A" w:rsidRDefault="00C27C9A" w:rsidP="00C27C9A">
            <w:pPr>
              <w:rPr>
                <w:rFonts w:ascii="Arial" w:hAnsi="Arial" w:cs="Arial"/>
                <w:sz w:val="20"/>
                <w:szCs w:val="20"/>
              </w:rPr>
            </w:pPr>
          </w:p>
        </w:tc>
        <w:tc>
          <w:tcPr>
            <w:tcW w:w="2025" w:type="dxa"/>
          </w:tcPr>
          <w:p w14:paraId="33E2FB36" w14:textId="77777777" w:rsidR="00C27C9A" w:rsidRDefault="00C27C9A" w:rsidP="00C27C9A">
            <w:pPr>
              <w:rPr>
                <w:rFonts w:ascii="Arial" w:hAnsi="Arial" w:cs="Arial"/>
                <w:sz w:val="20"/>
                <w:szCs w:val="20"/>
              </w:rPr>
            </w:pPr>
          </w:p>
        </w:tc>
        <w:tc>
          <w:tcPr>
            <w:tcW w:w="2025" w:type="dxa"/>
          </w:tcPr>
          <w:p w14:paraId="25CC0B41" w14:textId="77777777" w:rsidR="00C27C9A" w:rsidRDefault="00C27C9A" w:rsidP="00C27C9A">
            <w:pPr>
              <w:rPr>
                <w:rFonts w:ascii="Arial" w:hAnsi="Arial" w:cs="Arial"/>
                <w:sz w:val="20"/>
                <w:szCs w:val="20"/>
              </w:rPr>
            </w:pPr>
            <w:r>
              <w:rPr>
                <w:rFonts w:ascii="Arial" w:hAnsi="Arial" w:cs="Arial"/>
                <w:sz w:val="20"/>
                <w:szCs w:val="20"/>
              </w:rPr>
              <w:t>- Recognise and use factor pairs and commutativity in mental calculations.</w:t>
            </w:r>
          </w:p>
        </w:tc>
        <w:tc>
          <w:tcPr>
            <w:tcW w:w="2025" w:type="dxa"/>
          </w:tcPr>
          <w:p w14:paraId="1FD87EC7" w14:textId="77777777" w:rsidR="00C27C9A" w:rsidRDefault="00C27C9A" w:rsidP="00C27C9A">
            <w:pPr>
              <w:rPr>
                <w:rFonts w:ascii="Arial" w:hAnsi="Arial" w:cs="Arial"/>
                <w:sz w:val="20"/>
                <w:szCs w:val="20"/>
              </w:rPr>
            </w:pPr>
            <w:r>
              <w:rPr>
                <w:rFonts w:ascii="Arial" w:hAnsi="Arial" w:cs="Arial"/>
                <w:sz w:val="20"/>
                <w:szCs w:val="20"/>
              </w:rPr>
              <w:t>- Identify multiples and factors, including finding all factor pairs of a number, and common factors of two numbers.</w:t>
            </w:r>
          </w:p>
          <w:p w14:paraId="4F845AAE" w14:textId="77777777" w:rsidR="00EF7F76" w:rsidRDefault="00C27C9A" w:rsidP="00C27C9A">
            <w:pPr>
              <w:rPr>
                <w:rFonts w:ascii="Arial" w:hAnsi="Arial" w:cs="Arial"/>
                <w:sz w:val="20"/>
                <w:szCs w:val="20"/>
              </w:rPr>
            </w:pPr>
            <w:r>
              <w:rPr>
                <w:rFonts w:ascii="Arial" w:hAnsi="Arial" w:cs="Arial"/>
                <w:sz w:val="20"/>
                <w:szCs w:val="20"/>
              </w:rPr>
              <w:lastRenderedPageBreak/>
              <w:t xml:space="preserve">- Know and use the vocabulary of prime numbers, prime factors </w:t>
            </w:r>
            <w:r w:rsidR="00EF7F76">
              <w:rPr>
                <w:rFonts w:ascii="Arial" w:hAnsi="Arial" w:cs="Arial"/>
                <w:sz w:val="20"/>
                <w:szCs w:val="20"/>
              </w:rPr>
              <w:t>and composite (non-prime) numbers.</w:t>
            </w:r>
          </w:p>
          <w:p w14:paraId="23979C81" w14:textId="77777777" w:rsidR="00EF7F76" w:rsidRDefault="00EF7F76" w:rsidP="00C27C9A">
            <w:pPr>
              <w:rPr>
                <w:rFonts w:ascii="Arial" w:hAnsi="Arial" w:cs="Arial"/>
                <w:sz w:val="20"/>
                <w:szCs w:val="20"/>
              </w:rPr>
            </w:pPr>
            <w:r>
              <w:rPr>
                <w:rFonts w:ascii="Arial" w:hAnsi="Arial" w:cs="Arial"/>
                <w:sz w:val="20"/>
                <w:szCs w:val="20"/>
              </w:rPr>
              <w:t>- Establish whether a number up to 100 is prime and recall prime numbers up to 19.</w:t>
            </w:r>
          </w:p>
          <w:p w14:paraId="0A5BCBCC" w14:textId="77777777" w:rsidR="00C27C9A" w:rsidRPr="00C27C9A" w:rsidRDefault="00EF7F76" w:rsidP="00C27C9A">
            <w:pPr>
              <w:rPr>
                <w:rFonts w:ascii="Arial" w:hAnsi="Arial" w:cs="Arial"/>
                <w:sz w:val="20"/>
                <w:szCs w:val="20"/>
              </w:rPr>
            </w:pPr>
            <w:r>
              <w:rPr>
                <w:rFonts w:ascii="Arial" w:hAnsi="Arial" w:cs="Arial"/>
                <w:sz w:val="20"/>
                <w:szCs w:val="20"/>
              </w:rPr>
              <w:t>- Recognise ad use square numbers and cube numbers, and the notation for these.</w:t>
            </w:r>
            <w:r w:rsidR="00C27C9A">
              <w:rPr>
                <w:rFonts w:ascii="Arial" w:hAnsi="Arial" w:cs="Arial"/>
                <w:sz w:val="20"/>
                <w:szCs w:val="20"/>
              </w:rPr>
              <w:t xml:space="preserve"> </w:t>
            </w:r>
          </w:p>
        </w:tc>
        <w:tc>
          <w:tcPr>
            <w:tcW w:w="2025" w:type="dxa"/>
          </w:tcPr>
          <w:p w14:paraId="7EA5F6CB" w14:textId="77777777" w:rsidR="00C27C9A" w:rsidRDefault="00EF7F76" w:rsidP="00EF7F76">
            <w:pPr>
              <w:rPr>
                <w:rFonts w:ascii="Arial" w:hAnsi="Arial" w:cs="Arial"/>
                <w:sz w:val="20"/>
                <w:szCs w:val="20"/>
              </w:rPr>
            </w:pPr>
            <w:r>
              <w:rPr>
                <w:rFonts w:ascii="Arial" w:hAnsi="Arial" w:cs="Arial"/>
                <w:sz w:val="20"/>
                <w:szCs w:val="20"/>
              </w:rPr>
              <w:lastRenderedPageBreak/>
              <w:t>- Identify common factors, common multiples and prime numbers.</w:t>
            </w:r>
          </w:p>
          <w:p w14:paraId="3FF9D7F6" w14:textId="77777777" w:rsidR="00EF7F76" w:rsidRDefault="00EF7F76" w:rsidP="00EF7F76">
            <w:pPr>
              <w:rPr>
                <w:rFonts w:ascii="Arial" w:hAnsi="Arial" w:cs="Arial"/>
                <w:i/>
                <w:sz w:val="20"/>
                <w:szCs w:val="20"/>
              </w:rPr>
            </w:pPr>
            <w:r w:rsidRPr="00EF7F76">
              <w:rPr>
                <w:rFonts w:ascii="Arial" w:hAnsi="Arial" w:cs="Arial"/>
                <w:i/>
                <w:sz w:val="20"/>
                <w:szCs w:val="20"/>
              </w:rPr>
              <w:t xml:space="preserve">- Use common factors to simplify fractions; use </w:t>
            </w:r>
            <w:r w:rsidRPr="00EF7F76">
              <w:rPr>
                <w:rFonts w:ascii="Arial" w:hAnsi="Arial" w:cs="Arial"/>
                <w:i/>
                <w:sz w:val="20"/>
                <w:szCs w:val="20"/>
              </w:rPr>
              <w:lastRenderedPageBreak/>
              <w:t>common multiples to express fractions in the same denominator.</w:t>
            </w:r>
          </w:p>
          <w:p w14:paraId="6EDEC8EA" w14:textId="77777777" w:rsidR="00EF7F76" w:rsidRPr="00EF7F76" w:rsidRDefault="00EF7F76" w:rsidP="00EF7F76">
            <w:pPr>
              <w:rPr>
                <w:rFonts w:ascii="Arial" w:hAnsi="Arial" w:cs="Arial"/>
                <w:i/>
                <w:sz w:val="20"/>
                <w:szCs w:val="20"/>
              </w:rPr>
            </w:pPr>
            <w:r>
              <w:rPr>
                <w:rFonts w:ascii="Arial" w:hAnsi="Arial" w:cs="Arial"/>
                <w:i/>
                <w:sz w:val="20"/>
                <w:szCs w:val="20"/>
              </w:rPr>
              <w:t>- Calculate, estimate and compare volume of cubes and cuboids using standard units, including cm cubed and cubic metres, and extending to other units such as mm and km.</w:t>
            </w:r>
          </w:p>
        </w:tc>
      </w:tr>
    </w:tbl>
    <w:p w14:paraId="58686F32" w14:textId="77777777" w:rsidR="00FA5EE3" w:rsidRPr="00FA5EE3" w:rsidRDefault="00FA5EE3" w:rsidP="00FA5EE3">
      <w:pPr>
        <w:jc w:val="both"/>
        <w:rPr>
          <w:rFonts w:ascii="Arial" w:hAnsi="Arial" w:cs="Arial"/>
        </w:rPr>
      </w:pPr>
    </w:p>
    <w:sectPr w:rsidR="00FA5EE3" w:rsidRPr="00FA5EE3" w:rsidSect="00FA5EE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92CD" w14:textId="77777777" w:rsidR="009B5599" w:rsidRDefault="009B5599" w:rsidP="00FA5EE3">
      <w:pPr>
        <w:spacing w:after="0" w:line="240" w:lineRule="auto"/>
      </w:pPr>
      <w:r>
        <w:separator/>
      </w:r>
    </w:p>
  </w:endnote>
  <w:endnote w:type="continuationSeparator" w:id="0">
    <w:p w14:paraId="02208B3C" w14:textId="77777777" w:rsidR="009B5599" w:rsidRDefault="009B5599" w:rsidP="00FA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07D9" w14:textId="77777777" w:rsidR="009B5599" w:rsidRDefault="009B5599" w:rsidP="00FA5EE3">
      <w:pPr>
        <w:spacing w:after="0" w:line="240" w:lineRule="auto"/>
      </w:pPr>
      <w:r>
        <w:separator/>
      </w:r>
    </w:p>
  </w:footnote>
  <w:footnote w:type="continuationSeparator" w:id="0">
    <w:p w14:paraId="677AB768" w14:textId="77777777" w:rsidR="009B5599" w:rsidRDefault="009B5599" w:rsidP="00FA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37B1" w14:textId="77777777" w:rsidR="00FA5EE3" w:rsidRPr="00FA5EE3" w:rsidRDefault="00FA5EE3" w:rsidP="00FA5EE3">
    <w:pPr>
      <w:pStyle w:val="Header"/>
      <w:jc w:val="center"/>
      <w:rPr>
        <w:rFonts w:ascii="Arial" w:hAnsi="Arial" w:cs="Arial"/>
        <w:sz w:val="24"/>
        <w:szCs w:val="24"/>
        <w:u w:val="single"/>
      </w:rPr>
    </w:pPr>
    <w:r>
      <w:rPr>
        <w:rFonts w:ascii="Arial" w:hAnsi="Arial" w:cs="Arial"/>
        <w:sz w:val="24"/>
        <w:szCs w:val="24"/>
        <w:u w:val="single"/>
      </w:rPr>
      <w:t>Number Knowledge Progression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E3"/>
    <w:rsid w:val="00396F50"/>
    <w:rsid w:val="0089520A"/>
    <w:rsid w:val="009B5599"/>
    <w:rsid w:val="00AC7D80"/>
    <w:rsid w:val="00B62803"/>
    <w:rsid w:val="00C27C9A"/>
    <w:rsid w:val="00EF7F76"/>
    <w:rsid w:val="00FA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C889"/>
  <w15:docId w15:val="{7BCBEC7C-7D8D-784C-A8D8-F830BCCE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E3"/>
  </w:style>
  <w:style w:type="paragraph" w:styleId="Footer">
    <w:name w:val="footer"/>
    <w:basedOn w:val="Normal"/>
    <w:link w:val="FooterChar"/>
    <w:uiPriority w:val="99"/>
    <w:unhideWhenUsed/>
    <w:rsid w:val="00FA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E3"/>
  </w:style>
  <w:style w:type="table" w:styleId="TableGrid">
    <w:name w:val="Table Grid"/>
    <w:basedOn w:val="TableNormal"/>
    <w:uiPriority w:val="59"/>
    <w:rsid w:val="00FA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2019-11-10T12:22:00Z</dcterms:created>
  <dcterms:modified xsi:type="dcterms:W3CDTF">2019-11-10T12:22:00Z</dcterms:modified>
</cp:coreProperties>
</file>